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4"/>
          <w:szCs w:val="44"/>
        </w:rPr>
        <w:id w:val="1676916652"/>
        <w:docPartObj>
          <w:docPartGallery w:val="Cover Pages"/>
          <w:docPartUnique/>
        </w:docPartObj>
      </w:sdtPr>
      <w:sdtContent>
        <w:p w14:paraId="1B9B803B" w14:textId="6E66478C" w:rsidR="001F1F15" w:rsidRPr="007F4DC5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7F4DC5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7F4DC5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7F4DC5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8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7A6A895B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B37E55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658C8F64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B37E55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4D89273E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B37E55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76B6576E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B37E55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0E7A3BE8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B37E55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28378B0A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B37E55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557C9F8B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B37E55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396B2AA3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B37E55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074A06C8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B37E55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294814C8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B37E55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D41876" w:rsidRPr="00FF599C" w14:paraId="4DD12AAB" w14:textId="77777777" w:rsidTr="00D41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466B27" w14:paraId="024FC681" w14:textId="77777777" w:rsidTr="00D41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610D999E" w:rsidR="00C929EA" w:rsidRPr="00466B27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466B27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B37E55">
              <w:rPr>
                <w:rFonts w:ascii="Arial" w:eastAsia="Arial" w:hAnsi="Arial" w:cs="Arial"/>
                <w:b/>
                <w:bCs/>
              </w:rPr>
              <w:t>a</w:t>
            </w:r>
            <w:r w:rsidRPr="00466B27">
              <w:rPr>
                <w:rFonts w:ascii="Arial" w:eastAsia="Arial" w:hAnsi="Arial" w:cs="Arial"/>
                <w:b/>
                <w:bCs/>
              </w:rPr>
              <w:t>rticles</w:t>
            </w:r>
            <w:r w:rsidRPr="00466B27">
              <w:rPr>
                <w:rFonts w:ascii="Arial" w:eastAsia="Arial" w:hAnsi="Arial" w:cs="Arial"/>
              </w:rPr>
              <w:t> </w:t>
            </w:r>
          </w:p>
          <w:p w14:paraId="49281BCA" w14:textId="4F12DD8C" w:rsidR="00D41876" w:rsidRPr="00466B27" w:rsidRDefault="007F4DC5" w:rsidP="00C929EA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466B27">
              <w:rPr>
                <w:rFonts w:ascii="Arial" w:eastAsia="Arial" w:hAnsi="Arial" w:cs="Arial"/>
              </w:rPr>
              <w:t>Kikas, E., Puusepp, I., Granström, M., &amp; Mädamürk, K. (2024). Knowledge of Learning Strategies and Motivation to Use Them: Similarities and Differences between School Levels. </w:t>
            </w:r>
            <w:r w:rsidRPr="00466B27">
              <w:rPr>
                <w:rFonts w:ascii="Arial" w:eastAsia="Arial" w:hAnsi="Arial" w:cs="Arial"/>
                <w:i/>
                <w:iCs/>
              </w:rPr>
              <w:t>Behavioral sciences (Basel, Switzerland)</w:t>
            </w:r>
            <w:r w:rsidRPr="00466B27">
              <w:rPr>
                <w:rFonts w:ascii="Arial" w:eastAsia="Arial" w:hAnsi="Arial" w:cs="Arial"/>
              </w:rPr>
              <w:t>, </w:t>
            </w:r>
            <w:r w:rsidRPr="00466B27">
              <w:rPr>
                <w:rFonts w:ascii="Arial" w:eastAsia="Arial" w:hAnsi="Arial" w:cs="Arial"/>
                <w:i/>
                <w:iCs/>
              </w:rPr>
              <w:t>14</w:t>
            </w:r>
            <w:r w:rsidRPr="00466B27">
              <w:rPr>
                <w:rFonts w:ascii="Arial" w:eastAsia="Arial" w:hAnsi="Arial" w:cs="Arial"/>
              </w:rPr>
              <w:t xml:space="preserve">(10), 889. </w:t>
            </w:r>
            <w:hyperlink r:id="rId10" w:tgtFrame="_blank" w:history="1">
              <w:r w:rsidRPr="00466B27">
                <w:rPr>
                  <w:rStyle w:val="Hyperlink"/>
                  <w:rFonts w:ascii="Arial" w:eastAsia="Arial" w:hAnsi="Arial" w:cs="Arial"/>
                </w:rPr>
                <w:t>https://pmc.ncbi.nlm.nih.gov/articles/PMC11504996/</w:t>
              </w:r>
            </w:hyperlink>
            <w:r w:rsidRPr="00466B27">
              <w:rPr>
                <w:rFonts w:ascii="Arial" w:eastAsia="Arial" w:hAnsi="Arial" w:cs="Arial"/>
              </w:rPr>
              <w:t>  </w:t>
            </w:r>
          </w:p>
        </w:tc>
      </w:tr>
      <w:tr w:rsidR="00C929EA" w:rsidRPr="00466B27" w14:paraId="174856FD" w14:textId="77777777" w:rsidTr="00466B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4ADB813E" w:rsidR="00C929EA" w:rsidRPr="00466B27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466B27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B37E55">
              <w:rPr>
                <w:rFonts w:ascii="Arial" w:eastAsia="Arial" w:hAnsi="Arial" w:cs="Arial"/>
                <w:b/>
                <w:bCs/>
              </w:rPr>
              <w:t>p</w:t>
            </w:r>
            <w:r w:rsidRPr="00466B27">
              <w:rPr>
                <w:rFonts w:ascii="Arial" w:eastAsia="Arial" w:hAnsi="Arial" w:cs="Arial"/>
                <w:b/>
                <w:bCs/>
              </w:rPr>
              <w:t>ublications</w:t>
            </w:r>
            <w:r w:rsidRPr="00466B27">
              <w:rPr>
                <w:rFonts w:ascii="Arial" w:eastAsia="Arial" w:hAnsi="Arial" w:cs="Arial"/>
              </w:rPr>
              <w:t> </w:t>
            </w:r>
          </w:p>
          <w:p w14:paraId="15305467" w14:textId="77777777" w:rsidR="00466B27" w:rsidRPr="00466B27" w:rsidRDefault="00466B27" w:rsidP="00466B27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6B27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Indeed Editorial Team. (n.d.). Learning strategies: Types and examples. Indeed. </w:t>
            </w:r>
            <w:hyperlink r:id="rId11" w:tgtFrame="_blank" w:history="1">
              <w:r w:rsidRPr="00466B27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https://www.indeed.com/career-advice/career-development/learning-strategies-types</w:t>
              </w:r>
            </w:hyperlink>
            <w:r w:rsidRPr="00466B27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> </w:t>
            </w:r>
            <w:r w:rsidRPr="00466B27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  <w:p w14:paraId="7030B2CD" w14:textId="635258BE" w:rsidR="00C929EA" w:rsidRPr="00466B27" w:rsidRDefault="00466B27" w:rsidP="00466B27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6B27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Academy to Innovate HR. (n.d.). Learning and development. </w:t>
            </w:r>
            <w:hyperlink r:id="rId12" w:tgtFrame="_blank" w:history="1">
              <w:r w:rsidRPr="00466B27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https://www.aihr.com/blog/learning-and-development/</w:t>
              </w:r>
            </w:hyperlink>
            <w:r w:rsidRPr="00466B27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</w:tc>
      </w:tr>
      <w:tr w:rsidR="00C929EA" w:rsidRPr="00466B27" w14:paraId="24D954BD" w14:textId="77777777" w:rsidTr="00C92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82FA064" w14:textId="4E9A63E3" w:rsidR="00C929EA" w:rsidRPr="00466B27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466B27">
              <w:rPr>
                <w:rFonts w:ascii="Arial" w:eastAsia="Arial" w:hAnsi="Arial" w:cs="Arial"/>
                <w:b/>
                <w:bCs/>
              </w:rPr>
              <w:t xml:space="preserve">Reports and </w:t>
            </w:r>
            <w:r w:rsidR="00B37E55">
              <w:rPr>
                <w:rFonts w:ascii="Arial" w:eastAsia="Arial" w:hAnsi="Arial" w:cs="Arial"/>
                <w:b/>
                <w:bCs/>
              </w:rPr>
              <w:t>d</w:t>
            </w:r>
            <w:r w:rsidRPr="00466B27">
              <w:rPr>
                <w:rFonts w:ascii="Arial" w:eastAsia="Arial" w:hAnsi="Arial" w:cs="Arial"/>
                <w:b/>
                <w:bCs/>
              </w:rPr>
              <w:t>ata</w:t>
            </w:r>
            <w:r w:rsidRPr="00466B27">
              <w:rPr>
                <w:rFonts w:ascii="Arial" w:eastAsia="Arial" w:hAnsi="Arial" w:cs="Arial"/>
              </w:rPr>
              <w:t> </w:t>
            </w:r>
          </w:p>
          <w:p w14:paraId="7A803E0C" w14:textId="7F071E42" w:rsidR="00C929EA" w:rsidRPr="00466B27" w:rsidRDefault="00466B27" w:rsidP="00C929EA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466B27">
              <w:rPr>
                <w:rFonts w:ascii="Arial" w:eastAsia="Arial" w:hAnsi="Arial" w:cs="Arial"/>
              </w:rPr>
              <w:t xml:space="preserve">McKinsey Global Institute. (n.d.). A new future of work: The race to deploy AI and raise skills in Europe and beyond. </w:t>
            </w:r>
            <w:hyperlink r:id="rId13" w:tgtFrame="_blank" w:history="1">
              <w:r w:rsidRPr="00466B27">
                <w:rPr>
                  <w:rStyle w:val="Hyperlink"/>
                  <w:rFonts w:ascii="Arial" w:eastAsia="Arial" w:hAnsi="Arial" w:cs="Arial"/>
                </w:rPr>
                <w:t>https://www.mckinsey.com/mgi/our-research/a-new-future-of-work-the-race-to-deploy-ai-and-raise-skills-in-europe-and-beyond</w:t>
              </w:r>
            </w:hyperlink>
            <w:r w:rsidRPr="00466B27">
              <w:rPr>
                <w:rFonts w:ascii="Arial" w:eastAsia="Arial" w:hAnsi="Arial" w:cs="Arial"/>
              </w:rPr>
              <w:t> </w:t>
            </w:r>
          </w:p>
        </w:tc>
      </w:tr>
      <w:tr w:rsidR="00C929EA" w:rsidRPr="00466B27" w14:paraId="1E7859CF" w14:textId="77777777" w:rsidTr="00C929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D6A166E" w14:textId="0241C1E8" w:rsidR="00C929EA" w:rsidRPr="00466B27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466B27">
              <w:rPr>
                <w:rFonts w:ascii="Arial" w:eastAsia="Arial" w:hAnsi="Arial" w:cs="Arial"/>
                <w:b/>
                <w:bCs/>
              </w:rPr>
              <w:t xml:space="preserve">Videos and </w:t>
            </w:r>
            <w:r w:rsidR="00B37E55">
              <w:rPr>
                <w:rFonts w:ascii="Arial" w:eastAsia="Arial" w:hAnsi="Arial" w:cs="Arial"/>
                <w:b/>
                <w:bCs/>
              </w:rPr>
              <w:t>p</w:t>
            </w:r>
            <w:r w:rsidRPr="00466B27">
              <w:rPr>
                <w:rFonts w:ascii="Arial" w:eastAsia="Arial" w:hAnsi="Arial" w:cs="Arial"/>
                <w:b/>
                <w:bCs/>
              </w:rPr>
              <w:t>resentations</w:t>
            </w:r>
            <w:r w:rsidRPr="00466B27">
              <w:rPr>
                <w:rFonts w:ascii="Arial" w:eastAsia="Arial" w:hAnsi="Arial" w:cs="Arial"/>
              </w:rPr>
              <w:t> </w:t>
            </w:r>
          </w:p>
          <w:p w14:paraId="694BDD5E" w14:textId="415E9072" w:rsidR="00C929EA" w:rsidRPr="00466B27" w:rsidRDefault="00466B27" w:rsidP="00C929EA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466B27">
              <w:rPr>
                <w:rFonts w:ascii="Arial" w:eastAsia="Arial" w:hAnsi="Arial" w:cs="Arial"/>
              </w:rPr>
              <w:t xml:space="preserve">The University of Queensland Learning Lab. (n.d.). Enhancing workplace learning. </w:t>
            </w:r>
            <w:hyperlink r:id="rId14" w:tgtFrame="_blank" w:history="1">
              <w:r w:rsidRPr="00466B27">
                <w:rPr>
                  <w:rStyle w:val="Hyperlink"/>
                  <w:rFonts w:ascii="Arial" w:eastAsia="Arial" w:hAnsi="Arial" w:cs="Arial"/>
                </w:rPr>
                <w:t>https://learning-lab.uq.edu.au/resources/enhancing-workplace-learning</w:t>
              </w:r>
            </w:hyperlink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5"/>
      <w:footerReference w:type="default" r:id="rId16"/>
      <w:headerReference w:type="first" r:id="rId17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9A454" w14:textId="77777777" w:rsidR="00FF0F1E" w:rsidRDefault="00FF0F1E">
      <w:pPr>
        <w:spacing w:before="0" w:after="0" w:line="240" w:lineRule="auto"/>
      </w:pPr>
      <w:r>
        <w:separator/>
      </w:r>
    </w:p>
  </w:endnote>
  <w:endnote w:type="continuationSeparator" w:id="0">
    <w:p w14:paraId="291FFF9B" w14:textId="77777777" w:rsidR="00FF0F1E" w:rsidRDefault="00FF0F1E">
      <w:pPr>
        <w:spacing w:before="0" w:after="0" w:line="240" w:lineRule="auto"/>
      </w:pPr>
      <w:r>
        <w:continuationSeparator/>
      </w:r>
    </w:p>
  </w:endnote>
  <w:endnote w:type="continuationNotice" w:id="1">
    <w:p w14:paraId="7B8B09DB" w14:textId="77777777" w:rsidR="00FF0F1E" w:rsidRDefault="00FF0F1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772A3" w14:textId="77777777" w:rsidR="00FF0F1E" w:rsidRDefault="00FF0F1E">
      <w:pPr>
        <w:spacing w:before="0" w:after="0" w:line="240" w:lineRule="auto"/>
      </w:pPr>
      <w:r>
        <w:separator/>
      </w:r>
    </w:p>
  </w:footnote>
  <w:footnote w:type="continuationSeparator" w:id="0">
    <w:p w14:paraId="3F9B7C12" w14:textId="77777777" w:rsidR="00FF0F1E" w:rsidRDefault="00FF0F1E">
      <w:pPr>
        <w:spacing w:before="0" w:after="0" w:line="240" w:lineRule="auto"/>
      </w:pPr>
      <w:r>
        <w:continuationSeparator/>
      </w:r>
    </w:p>
  </w:footnote>
  <w:footnote w:type="continuationNotice" w:id="1">
    <w:p w14:paraId="7DD1E6E3" w14:textId="77777777" w:rsidR="00FF0F1E" w:rsidRDefault="00FF0F1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5333ABE" w:rsidR="00B93556" w:rsidRDefault="0054790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A08F5B7" wp14:editId="496176B2">
              <wp:simplePos x="0" y="0"/>
              <wp:positionH relativeFrom="page">
                <wp:align>right</wp:align>
              </wp:positionH>
              <wp:positionV relativeFrom="paragraph">
                <wp:posOffset>-442595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5C3A98F0" id="Group 43" o:spid="_x0000_s1026" style="position:absolute;margin-left:543.2pt;margin-top:-34.85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MhAZaPgAAAACQEAAA8AAABkcnMvZG93&#10;bnJldi54bWxMj8FKw0AQhu+C77CM4K3dpGJMYzalFPVUBFtBeptmp0lodjZkt0n69m5PepvhH/75&#10;vnw1mVYM1LvGsoJ4HoEgLq1uuFLwvX+fpSCcR9bYWiYFV3KwKu7vcsy0HfmLhp2vRChhl6GC2vsu&#10;k9KVNRl0c9sRh+xke4M+rH0ldY9jKDetXERRIg02HD7U2NGmpvK8uxgFHyOO66f4bdieT5vrYf/8&#10;+bONSanHh2n9CsLT5P+O4YYf0KEITEd7Ye1EqyCIeAWzZPkC4hbHaRpUjmFKFjHIIpf/DYpf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77777777" w:rsidR="00B93556" w:rsidRDefault="00B93556">
    <w:pPr>
      <w:pStyle w:val="Header"/>
    </w:pPr>
  </w:p>
  <w:p w14:paraId="70CF13C4" w14:textId="2242BC01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8777DF"/>
    <w:multiLevelType w:val="multilevel"/>
    <w:tmpl w:val="EDC8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D40761B"/>
    <w:multiLevelType w:val="multilevel"/>
    <w:tmpl w:val="931A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3"/>
  </w:num>
  <w:num w:numId="2" w16cid:durableId="676470249">
    <w:abstractNumId w:val="39"/>
  </w:num>
  <w:num w:numId="3" w16cid:durableId="1948196146">
    <w:abstractNumId w:val="47"/>
  </w:num>
  <w:num w:numId="4" w16cid:durableId="1612475765">
    <w:abstractNumId w:val="76"/>
  </w:num>
  <w:num w:numId="5" w16cid:durableId="1932157232">
    <w:abstractNumId w:val="43"/>
  </w:num>
  <w:num w:numId="6" w16cid:durableId="731080042">
    <w:abstractNumId w:val="72"/>
  </w:num>
  <w:num w:numId="7" w16cid:durableId="2144232123">
    <w:abstractNumId w:val="64"/>
  </w:num>
  <w:num w:numId="8" w16cid:durableId="1454133887">
    <w:abstractNumId w:val="59"/>
  </w:num>
  <w:num w:numId="9" w16cid:durableId="738211747">
    <w:abstractNumId w:val="30"/>
  </w:num>
  <w:num w:numId="10" w16cid:durableId="1378579400">
    <w:abstractNumId w:val="18"/>
  </w:num>
  <w:num w:numId="11" w16cid:durableId="1530142033">
    <w:abstractNumId w:val="56"/>
  </w:num>
  <w:num w:numId="12" w16cid:durableId="1434010187">
    <w:abstractNumId w:val="66"/>
  </w:num>
  <w:num w:numId="13" w16cid:durableId="1144933993">
    <w:abstractNumId w:val="46"/>
  </w:num>
  <w:num w:numId="14" w16cid:durableId="833644224">
    <w:abstractNumId w:val="35"/>
  </w:num>
  <w:num w:numId="15" w16cid:durableId="2136751764">
    <w:abstractNumId w:val="3"/>
  </w:num>
  <w:num w:numId="16" w16cid:durableId="1999728601">
    <w:abstractNumId w:val="13"/>
  </w:num>
  <w:num w:numId="17" w16cid:durableId="934092168">
    <w:abstractNumId w:val="17"/>
  </w:num>
  <w:num w:numId="18" w16cid:durableId="599216800">
    <w:abstractNumId w:val="2"/>
  </w:num>
  <w:num w:numId="19" w16cid:durableId="398938113">
    <w:abstractNumId w:val="7"/>
  </w:num>
  <w:num w:numId="20" w16cid:durableId="998388816">
    <w:abstractNumId w:val="9"/>
  </w:num>
  <w:num w:numId="21" w16cid:durableId="541988406">
    <w:abstractNumId w:val="44"/>
  </w:num>
  <w:num w:numId="22" w16cid:durableId="443235930">
    <w:abstractNumId w:val="34"/>
  </w:num>
  <w:num w:numId="23" w16cid:durableId="705983837">
    <w:abstractNumId w:val="50"/>
  </w:num>
  <w:num w:numId="24" w16cid:durableId="1455252552">
    <w:abstractNumId w:val="32"/>
  </w:num>
  <w:num w:numId="25" w16cid:durableId="1455634524">
    <w:abstractNumId w:val="51"/>
  </w:num>
  <w:num w:numId="26" w16cid:durableId="2003001726">
    <w:abstractNumId w:val="57"/>
  </w:num>
  <w:num w:numId="27" w16cid:durableId="348802136">
    <w:abstractNumId w:val="4"/>
  </w:num>
  <w:num w:numId="28" w16cid:durableId="1790933639">
    <w:abstractNumId w:val="52"/>
  </w:num>
  <w:num w:numId="29" w16cid:durableId="527765391">
    <w:abstractNumId w:val="6"/>
  </w:num>
  <w:num w:numId="30" w16cid:durableId="294339249">
    <w:abstractNumId w:val="45"/>
  </w:num>
  <w:num w:numId="31" w16cid:durableId="802651592">
    <w:abstractNumId w:val="26"/>
  </w:num>
  <w:num w:numId="32" w16cid:durableId="1479613027">
    <w:abstractNumId w:val="28"/>
  </w:num>
  <w:num w:numId="33" w16cid:durableId="496267867">
    <w:abstractNumId w:val="67"/>
  </w:num>
  <w:num w:numId="34" w16cid:durableId="1092704142">
    <w:abstractNumId w:val="21"/>
  </w:num>
  <w:num w:numId="35" w16cid:durableId="2117600090">
    <w:abstractNumId w:val="38"/>
  </w:num>
  <w:num w:numId="36" w16cid:durableId="779490035">
    <w:abstractNumId w:val="42"/>
  </w:num>
  <w:num w:numId="37" w16cid:durableId="364867131">
    <w:abstractNumId w:val="10"/>
  </w:num>
  <w:num w:numId="38" w16cid:durableId="1879971263">
    <w:abstractNumId w:val="75"/>
  </w:num>
  <w:num w:numId="39" w16cid:durableId="1769933023">
    <w:abstractNumId w:val="68"/>
  </w:num>
  <w:num w:numId="40" w16cid:durableId="2066945101">
    <w:abstractNumId w:val="41"/>
  </w:num>
  <w:num w:numId="41" w16cid:durableId="314797444">
    <w:abstractNumId w:val="12"/>
  </w:num>
  <w:num w:numId="42" w16cid:durableId="639380518">
    <w:abstractNumId w:val="55"/>
  </w:num>
  <w:num w:numId="43" w16cid:durableId="1051613220">
    <w:abstractNumId w:val="29"/>
  </w:num>
  <w:num w:numId="44" w16cid:durableId="37440234">
    <w:abstractNumId w:val="37"/>
  </w:num>
  <w:num w:numId="45" w16cid:durableId="1252080139">
    <w:abstractNumId w:val="73"/>
  </w:num>
  <w:num w:numId="46" w16cid:durableId="1754231437">
    <w:abstractNumId w:val="58"/>
  </w:num>
  <w:num w:numId="47" w16cid:durableId="531646652">
    <w:abstractNumId w:val="8"/>
  </w:num>
  <w:num w:numId="48" w16cid:durableId="179004056">
    <w:abstractNumId w:val="25"/>
  </w:num>
  <w:num w:numId="49" w16cid:durableId="556863097">
    <w:abstractNumId w:val="54"/>
  </w:num>
  <w:num w:numId="50" w16cid:durableId="1936551557">
    <w:abstractNumId w:val="22"/>
  </w:num>
  <w:num w:numId="51" w16cid:durableId="181938088">
    <w:abstractNumId w:val="16"/>
  </w:num>
  <w:num w:numId="52" w16cid:durableId="1914654027">
    <w:abstractNumId w:val="70"/>
  </w:num>
  <w:num w:numId="53" w16cid:durableId="365109483">
    <w:abstractNumId w:val="14"/>
  </w:num>
  <w:num w:numId="54" w16cid:durableId="809900143">
    <w:abstractNumId w:val="0"/>
  </w:num>
  <w:num w:numId="55" w16cid:durableId="1522934535">
    <w:abstractNumId w:val="65"/>
  </w:num>
  <w:num w:numId="56" w16cid:durableId="1966545390">
    <w:abstractNumId w:val="1"/>
  </w:num>
  <w:num w:numId="57" w16cid:durableId="1375041081">
    <w:abstractNumId w:val="23"/>
  </w:num>
  <w:num w:numId="58" w16cid:durableId="1944920647">
    <w:abstractNumId w:val="48"/>
  </w:num>
  <w:num w:numId="59" w16cid:durableId="295185760">
    <w:abstractNumId w:val="27"/>
  </w:num>
  <w:num w:numId="60" w16cid:durableId="1407610823">
    <w:abstractNumId w:val="74"/>
  </w:num>
  <w:num w:numId="61" w16cid:durableId="1087770240">
    <w:abstractNumId w:val="36"/>
  </w:num>
  <w:num w:numId="62" w16cid:durableId="1017539151">
    <w:abstractNumId w:val="5"/>
  </w:num>
  <w:num w:numId="63" w16cid:durableId="22051935">
    <w:abstractNumId w:val="20"/>
  </w:num>
  <w:num w:numId="64" w16cid:durableId="740952520">
    <w:abstractNumId w:val="24"/>
  </w:num>
  <w:num w:numId="65" w16cid:durableId="709574836">
    <w:abstractNumId w:val="61"/>
  </w:num>
  <w:num w:numId="66" w16cid:durableId="1607149631">
    <w:abstractNumId w:val="33"/>
  </w:num>
  <w:num w:numId="67" w16cid:durableId="27075361">
    <w:abstractNumId w:val="49"/>
  </w:num>
  <w:num w:numId="68" w16cid:durableId="956181810">
    <w:abstractNumId w:val="60"/>
  </w:num>
  <w:num w:numId="69" w16cid:durableId="2136360930">
    <w:abstractNumId w:val="15"/>
  </w:num>
  <w:num w:numId="70" w16cid:durableId="145514464">
    <w:abstractNumId w:val="71"/>
  </w:num>
  <w:num w:numId="71" w16cid:durableId="219366366">
    <w:abstractNumId w:val="62"/>
  </w:num>
  <w:num w:numId="72" w16cid:durableId="827214115">
    <w:abstractNumId w:val="63"/>
  </w:num>
  <w:num w:numId="73" w16cid:durableId="333529440">
    <w:abstractNumId w:val="69"/>
  </w:num>
  <w:num w:numId="74" w16cid:durableId="1723748554">
    <w:abstractNumId w:val="11"/>
  </w:num>
  <w:num w:numId="75" w16cid:durableId="1822692116">
    <w:abstractNumId w:val="19"/>
  </w:num>
  <w:num w:numId="76" w16cid:durableId="168255148">
    <w:abstractNumId w:val="40"/>
  </w:num>
  <w:num w:numId="77" w16cid:durableId="49453575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5660"/>
    <w:rsid w:val="00333BA0"/>
    <w:rsid w:val="00364D5B"/>
    <w:rsid w:val="0037432E"/>
    <w:rsid w:val="00386C80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5034D"/>
    <w:rsid w:val="00450F50"/>
    <w:rsid w:val="00453CA2"/>
    <w:rsid w:val="0045602C"/>
    <w:rsid w:val="00462372"/>
    <w:rsid w:val="00463CF0"/>
    <w:rsid w:val="00466B27"/>
    <w:rsid w:val="00473D8C"/>
    <w:rsid w:val="004B1550"/>
    <w:rsid w:val="004C002D"/>
    <w:rsid w:val="004C138A"/>
    <w:rsid w:val="004C74B2"/>
    <w:rsid w:val="004D2C6F"/>
    <w:rsid w:val="004D2DE8"/>
    <w:rsid w:val="004F4D5C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4790F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7F4DC5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37E55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53232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187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2634B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7A6D"/>
    <w:rsid w:val="00FA0C0A"/>
    <w:rsid w:val="00FB29A2"/>
    <w:rsid w:val="00FB36B8"/>
    <w:rsid w:val="00FB469D"/>
    <w:rsid w:val="00FB68D9"/>
    <w:rsid w:val="00FE1534"/>
    <w:rsid w:val="00FE5338"/>
    <w:rsid w:val="00FE70F0"/>
    <w:rsid w:val="00FF0F1E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466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customStyle="1" w:styleId="normaltextrun">
    <w:name w:val="normaltextrun"/>
    <w:basedOn w:val="DefaultParagraphFont"/>
    <w:rsid w:val="00466B27"/>
  </w:style>
  <w:style w:type="character" w:customStyle="1" w:styleId="eop">
    <w:name w:val="eop"/>
    <w:basedOn w:val="DefaultParagraphFont"/>
    <w:rsid w:val="00466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ckinsey.com/mgi/our-research/a-new-future-of-work-the-race-to-deploy-ai-and-raise-skills-in-europe-and-beyond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ihr.com/blog/learning-and-development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deed.com/career-advice/career-development/learning-strategies-type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pmc.ncbi.nlm.nih.gov/articles/PMC11504996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learning-lab.uq.edu.au/resources/enhancing-workplace-learnin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1E584E92-59A4-46AD-93DC-05F71A7891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458</Words>
  <Characters>2611</Characters>
  <Application>Microsoft Office Word</Application>
  <DocSecurity>0</DocSecurity>
  <Lines>21</Lines>
  <Paragraphs>6</Paragraphs>
  <ScaleCrop>false</ScaleCrop>
  <Company>Manufacturing Skills Queensland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304</cp:revision>
  <dcterms:created xsi:type="dcterms:W3CDTF">2025-01-31T00:49:00Z</dcterms:created>
  <dcterms:modified xsi:type="dcterms:W3CDTF">2026-01-08T00:49:00Z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